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F43BF3">
        <w:rPr>
          <w:rFonts w:ascii="Calibri" w:hAnsi="Calibri" w:cs="Tahoma"/>
          <w:b/>
          <w:color w:val="1F497D" w:themeColor="text2"/>
          <w:sz w:val="28"/>
          <w:szCs w:val="28"/>
        </w:rPr>
        <w:t>JAMBONS DE L HERMITAGE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E615FC">
        <w:rPr>
          <w:rFonts w:ascii="Calibri" w:hAnsi="Calibri" w:cs="Tahoma"/>
          <w:color w:val="1F497D" w:themeColor="text2"/>
        </w:rPr>
        <w:t xml:space="preserve">33 rue Jules </w:t>
      </w:r>
      <w:proofErr w:type="spellStart"/>
      <w:r w:rsidR="00E615FC">
        <w:rPr>
          <w:rFonts w:ascii="Calibri" w:hAnsi="Calibri" w:cs="Tahoma"/>
          <w:color w:val="1F497D" w:themeColor="text2"/>
        </w:rPr>
        <w:t>Nadi</w:t>
      </w:r>
      <w:proofErr w:type="spellEnd"/>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E615FC">
        <w:rPr>
          <w:rFonts w:ascii="Calibri" w:hAnsi="Calibri" w:cs="Tahoma"/>
          <w:color w:val="1F497D" w:themeColor="text2"/>
          <w:sz w:val="28"/>
          <w:szCs w:val="28"/>
        </w:rPr>
        <w:t>26600 TAIN L HERMITAGE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2203B0">
        <w:rPr>
          <w:rFonts w:ascii="Calibri" w:hAnsi="Calibri" w:cs="Tahoma"/>
          <w:color w:val="1F497D" w:themeColor="text2"/>
        </w:rPr>
        <w:t>7</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E615FC">
        <w:rPr>
          <w:rFonts w:ascii="Calibri" w:hAnsi="Calibri" w:cs="Tahoma"/>
          <w:b/>
          <w:color w:val="1F497D" w:themeColor="text2"/>
        </w:rPr>
        <w:t>JEANSELME</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E615FC">
        <w:rPr>
          <w:rFonts w:ascii="Calibri" w:hAnsi="Calibri" w:cs="Tahoma"/>
          <w:color w:val="1F497D" w:themeColor="text2"/>
          <w:sz w:val="28"/>
          <w:szCs w:val="28"/>
          <w:u w:val="single"/>
        </w:rPr>
        <w:t>Sécheur par adsorption et filtration posé par vos soins</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E615FC">
        <w:rPr>
          <w:rFonts w:ascii="Calibri" w:hAnsi="Calibri" w:cs="Tahoma"/>
          <w:color w:val="1F497D" w:themeColor="text2"/>
        </w:rPr>
        <w:t>1003514</w:t>
      </w:r>
      <w:r w:rsidR="00C2389B">
        <w:rPr>
          <w:rFonts w:ascii="Calibri" w:hAnsi="Calibri" w:cs="Tahoma"/>
          <w:color w:val="1F497D" w:themeColor="text2"/>
        </w:rPr>
        <w:t>-1</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E615FC" w:rsidP="00514DEA">
      <w:pPr>
        <w:rPr>
          <w:rFonts w:asciiTheme="minorHAnsi" w:hAnsiTheme="minorHAnsi" w:cs="Tahoma"/>
          <w:color w:val="1F497D" w:themeColor="text2"/>
        </w:rPr>
      </w:pPr>
      <w:r>
        <w:rPr>
          <w:rFonts w:asciiTheme="minorHAnsi" w:hAnsiTheme="minorHAnsi" w:cs="Tahoma"/>
          <w:color w:val="1F497D" w:themeColor="text2"/>
        </w:rPr>
        <w:t>Voici trouver ci-joint notre proposition suite à votre demande, pour votre installation d’air comprimé.</w:t>
      </w:r>
    </w:p>
    <w:p w:rsidR="00487B3C" w:rsidRDefault="005320C9" w:rsidP="00514DEA">
      <w:pPr>
        <w:rPr>
          <w:rFonts w:asciiTheme="minorHAnsi" w:hAnsiTheme="minorHAnsi" w:cs="Tahoma"/>
          <w:color w:val="1F497D" w:themeColor="text2"/>
        </w:rPr>
      </w:pPr>
      <w:r>
        <w:rPr>
          <w:rFonts w:asciiTheme="minorHAnsi" w:hAnsiTheme="minorHAnsi" w:cs="Tahoma"/>
          <w:color w:val="1F497D" w:themeColor="text2"/>
        </w:rPr>
        <w:t>L</w:t>
      </w:r>
      <w:r w:rsidR="00E615FC">
        <w:rPr>
          <w:rFonts w:asciiTheme="minorHAnsi" w:hAnsiTheme="minorHAnsi" w:cs="Tahoma"/>
          <w:color w:val="1F497D" w:themeColor="text2"/>
        </w:rPr>
        <w:t>e sécheur</w:t>
      </w:r>
      <w:r>
        <w:rPr>
          <w:rFonts w:asciiTheme="minorHAnsi" w:hAnsiTheme="minorHAnsi" w:cs="Tahoma"/>
          <w:color w:val="1F497D" w:themeColor="text2"/>
        </w:rPr>
        <w:t xml:space="preserve">  ( 120 m3/h ) que nous vous proposons</w:t>
      </w:r>
      <w:r w:rsidR="00E615FC">
        <w:rPr>
          <w:rFonts w:asciiTheme="minorHAnsi" w:hAnsiTheme="minorHAnsi" w:cs="Tahoma"/>
          <w:color w:val="1F497D" w:themeColor="text2"/>
        </w:rPr>
        <w:t xml:space="preserve"> est capable de traité</w:t>
      </w:r>
      <w:r>
        <w:rPr>
          <w:rFonts w:asciiTheme="minorHAnsi" w:hAnsiTheme="minorHAnsi" w:cs="Tahoma"/>
          <w:color w:val="1F497D" w:themeColor="text2"/>
        </w:rPr>
        <w:t xml:space="preserve"> indifféremment </w:t>
      </w:r>
      <w:r w:rsidR="00E615FC">
        <w:rPr>
          <w:rFonts w:asciiTheme="minorHAnsi" w:hAnsiTheme="minorHAnsi" w:cs="Tahoma"/>
          <w:color w:val="1F497D" w:themeColor="text2"/>
        </w:rPr>
        <w:t xml:space="preserve"> </w:t>
      </w:r>
      <w:r>
        <w:rPr>
          <w:rFonts w:asciiTheme="minorHAnsi" w:hAnsiTheme="minorHAnsi" w:cs="Tahoma"/>
          <w:color w:val="1F497D" w:themeColor="text2"/>
        </w:rPr>
        <w:t xml:space="preserve">le débit de votre compresseur  ROLLAIR RLR15B ( 106 m3/h ) </w:t>
      </w:r>
      <w:r>
        <w:rPr>
          <w:rFonts w:asciiTheme="minorHAnsi" w:hAnsiTheme="minorHAnsi" w:cs="Tahoma"/>
          <w:b/>
          <w:color w:val="1F497D" w:themeColor="text2"/>
        </w:rPr>
        <w:t xml:space="preserve">OU  </w:t>
      </w:r>
      <w:r>
        <w:rPr>
          <w:rFonts w:asciiTheme="minorHAnsi" w:hAnsiTheme="minorHAnsi" w:cs="Tahoma"/>
          <w:color w:val="1F497D" w:themeColor="text2"/>
        </w:rPr>
        <w:t>du compresseur L07RS ( 75.6 m3/h ) .</w:t>
      </w:r>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514DEA" w:rsidP="00487B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 xml:space="preserve">I – </w:t>
      </w:r>
      <w:r w:rsidR="00E615FC">
        <w:rPr>
          <w:rFonts w:ascii="Calibri" w:hAnsi="Calibri" w:cs="Tahoma"/>
          <w:i w:val="0"/>
          <w:color w:val="1F497D" w:themeColor="text2"/>
          <w:sz w:val="28"/>
          <w:szCs w:val="28"/>
          <w:u w:val="single"/>
        </w:rPr>
        <w:t xml:space="preserve">SECHEUR A ADSORPTION  </w:t>
      </w:r>
      <w:proofErr w:type="spellStart"/>
      <w:r w:rsidR="00E615FC">
        <w:rPr>
          <w:rFonts w:ascii="Calibri" w:hAnsi="Calibri" w:cs="Tahoma"/>
          <w:i w:val="0"/>
          <w:color w:val="1F497D" w:themeColor="text2"/>
          <w:sz w:val="28"/>
          <w:szCs w:val="28"/>
          <w:u w:val="single"/>
        </w:rPr>
        <w:t>ref</w:t>
      </w:r>
      <w:proofErr w:type="spellEnd"/>
      <w:r w:rsidR="00E615FC">
        <w:rPr>
          <w:rFonts w:ascii="Calibri" w:hAnsi="Calibri" w:cs="Tahoma"/>
          <w:i w:val="0"/>
          <w:color w:val="1F497D" w:themeColor="text2"/>
          <w:sz w:val="28"/>
          <w:szCs w:val="28"/>
          <w:u w:val="single"/>
        </w:rPr>
        <w:t>. KDD</w:t>
      </w:r>
      <w:r w:rsidR="005320C9">
        <w:rPr>
          <w:rFonts w:ascii="Calibri" w:hAnsi="Calibri" w:cs="Tahoma"/>
          <w:i w:val="0"/>
          <w:color w:val="1F497D" w:themeColor="text2"/>
          <w:sz w:val="28"/>
          <w:szCs w:val="28"/>
          <w:u w:val="single"/>
        </w:rPr>
        <w:t>120</w:t>
      </w:r>
    </w:p>
    <w:p w:rsidR="00E615FC" w:rsidRPr="00E615FC" w:rsidRDefault="00E615FC" w:rsidP="00E615FC"/>
    <w:p w:rsidR="00487B3C" w:rsidRDefault="005320C9" w:rsidP="00487B3C">
      <w:r>
        <w:rPr>
          <w:noProof/>
        </w:rPr>
        <w:drawing>
          <wp:inline distT="0" distB="0" distL="0" distR="0">
            <wp:extent cx="6645910" cy="391984"/>
            <wp:effectExtent l="19050" t="0" r="254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6645910" cy="391984"/>
                    </a:xfrm>
                    <a:prstGeom prst="rect">
                      <a:avLst/>
                    </a:prstGeom>
                    <a:noFill/>
                    <a:ln w="9525">
                      <a:noFill/>
                      <a:miter lim="800000"/>
                      <a:headEnd/>
                      <a:tailEnd/>
                    </a:ln>
                  </pic:spPr>
                </pic:pic>
              </a:graphicData>
            </a:graphic>
          </wp:inline>
        </w:drawing>
      </w:r>
    </w:p>
    <w:p w:rsidR="00487B3C" w:rsidRPr="00487B3C" w:rsidRDefault="00E615FC" w:rsidP="00487B3C">
      <w:r>
        <w:rPr>
          <w:noProof/>
        </w:rPr>
        <w:drawing>
          <wp:anchor distT="0" distB="0" distL="114300" distR="114300" simplePos="0" relativeHeight="251685376" behindDoc="0" locked="0" layoutInCell="1" allowOverlap="1">
            <wp:simplePos x="0" y="0"/>
            <wp:positionH relativeFrom="column">
              <wp:posOffset>1400175</wp:posOffset>
            </wp:positionH>
            <wp:positionV relativeFrom="paragraph">
              <wp:posOffset>119380</wp:posOffset>
            </wp:positionV>
            <wp:extent cx="1990725" cy="2609850"/>
            <wp:effectExtent l="19050" t="0" r="9525" b="0"/>
            <wp:wrapNone/>
            <wp:docPr id="36" name="Image 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ficher l'image d'origine"/>
                    <pic:cNvPicPr>
                      <a:picLocks noChangeAspect="1" noChangeArrowheads="1"/>
                    </pic:cNvPicPr>
                  </pic:nvPicPr>
                  <pic:blipFill>
                    <a:blip r:embed="rId10" cstate="print"/>
                    <a:srcRect/>
                    <a:stretch>
                      <a:fillRect/>
                    </a:stretch>
                  </pic:blipFill>
                  <pic:spPr bwMode="auto">
                    <a:xfrm>
                      <a:off x="0" y="0"/>
                      <a:ext cx="1990725" cy="2609850"/>
                    </a:xfrm>
                    <a:prstGeom prst="rect">
                      <a:avLst/>
                    </a:prstGeom>
                    <a:noFill/>
                    <a:ln w="9525">
                      <a:noFill/>
                      <a:miter lim="800000"/>
                      <a:headEnd/>
                      <a:tailEnd/>
                    </a:ln>
                  </pic:spPr>
                </pic:pic>
              </a:graphicData>
            </a:graphic>
          </wp:anchor>
        </w:drawing>
      </w:r>
    </w:p>
    <w:p w:rsidR="00487B3C" w:rsidRDefault="00487B3C" w:rsidP="00487B3C"/>
    <w:p w:rsidR="00487B3C" w:rsidRDefault="00487B3C" w:rsidP="00487B3C"/>
    <w:p w:rsidR="00487B3C" w:rsidRDefault="00487B3C" w:rsidP="00487B3C"/>
    <w:p w:rsidR="00487B3C" w:rsidRDefault="00487B3C" w:rsidP="00487B3C"/>
    <w:p w:rsidR="00487B3C" w:rsidRDefault="00487B3C" w:rsidP="00487B3C"/>
    <w:p w:rsidR="00487B3C" w:rsidRDefault="00487B3C" w:rsidP="00487B3C"/>
    <w:p w:rsidR="00487B3C" w:rsidRPr="00487B3C" w:rsidRDefault="00487B3C" w:rsidP="00487B3C"/>
    <w:p w:rsidR="00487B3C" w:rsidRDefault="00487B3C" w:rsidP="00487B3C"/>
    <w:p w:rsidR="00487B3C" w:rsidRDefault="00487B3C" w:rsidP="00487B3C"/>
    <w:p w:rsidR="00487B3C" w:rsidRPr="00487B3C" w:rsidRDefault="00487B3C" w:rsidP="00487B3C"/>
    <w:p w:rsidR="003A564B" w:rsidRDefault="003A564B" w:rsidP="002859E3">
      <w:pPr>
        <w:pStyle w:val="Default"/>
        <w:ind w:left="6372" w:firstLine="708"/>
        <w:rPr>
          <w:b/>
          <w:bCs/>
          <w:color w:val="1F497D" w:themeColor="text2"/>
        </w:rPr>
      </w:pPr>
    </w:p>
    <w:p w:rsidR="003A564B" w:rsidRDefault="003A564B"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E615FC">
        <w:rPr>
          <w:b/>
          <w:bCs/>
          <w:color w:val="1F497D" w:themeColor="text2"/>
        </w:rPr>
        <w:t xml:space="preserve">3 </w:t>
      </w:r>
      <w:r w:rsidR="005320C9">
        <w:rPr>
          <w:b/>
          <w:bCs/>
          <w:color w:val="1F497D" w:themeColor="text2"/>
        </w:rPr>
        <w:t>86</w:t>
      </w:r>
      <w:r w:rsidR="00E615FC">
        <w:rPr>
          <w:b/>
          <w:bCs/>
          <w:color w:val="1F497D" w:themeColor="text2"/>
        </w:rPr>
        <w:t>0</w:t>
      </w:r>
      <w:r w:rsidR="00487B3C">
        <w:rPr>
          <w:b/>
          <w:bCs/>
          <w:color w:val="1F497D" w:themeColor="text2"/>
        </w:rPr>
        <w:t>.00</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w:t>
      </w:r>
      <w:r w:rsidR="00A641BE" w:rsidRPr="00F80035">
        <w:rPr>
          <w:rFonts w:ascii="Calibri" w:hAnsi="Calibri" w:cs="Tahoma"/>
          <w:i w:val="0"/>
          <w:color w:val="1F497D" w:themeColor="text2"/>
          <w:sz w:val="28"/>
          <w:szCs w:val="28"/>
          <w:u w:val="single"/>
        </w:rPr>
        <w:t>filtre</w:t>
      </w:r>
      <w:r w:rsidRPr="00F80035">
        <w:rPr>
          <w:rFonts w:ascii="Calibri" w:hAnsi="Calibri" w:cs="Tahoma"/>
          <w:i w:val="0"/>
          <w:color w:val="1F497D" w:themeColor="text2"/>
          <w:sz w:val="28"/>
          <w:szCs w:val="28"/>
          <w:u w:val="single"/>
        </w:rPr>
        <w:t xml:space="preserve"> </w:t>
      </w:r>
      <w:r w:rsidR="00362BAC" w:rsidRPr="00F80035">
        <w:rPr>
          <w:rFonts w:ascii="Calibri" w:hAnsi="Calibri" w:cs="Tahoma"/>
          <w:i w:val="0"/>
          <w:color w:val="1F497D" w:themeColor="text2"/>
          <w:sz w:val="28"/>
          <w:szCs w:val="28"/>
          <w:u w:val="single"/>
        </w:rPr>
        <w:t>réf</w:t>
      </w:r>
      <w:r w:rsidRPr="00F80035">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 xml:space="preserve">BEA </w:t>
      </w:r>
      <w:r w:rsidR="005320C9">
        <w:rPr>
          <w:rFonts w:ascii="Calibri" w:hAnsi="Calibri" w:cs="Tahoma"/>
          <w:i w:val="0"/>
          <w:color w:val="1F497D" w:themeColor="text2"/>
          <w:sz w:val="28"/>
          <w:szCs w:val="28"/>
          <w:u w:val="single"/>
        </w:rPr>
        <w:t>190</w:t>
      </w:r>
      <w:r w:rsidR="00F80035">
        <w:rPr>
          <w:rFonts w:ascii="Calibri" w:hAnsi="Calibri" w:cs="Tahoma"/>
          <w:i w:val="0"/>
          <w:color w:val="1F497D" w:themeColor="text2"/>
          <w:sz w:val="28"/>
          <w:szCs w:val="28"/>
          <w:u w:val="single"/>
        </w:rPr>
        <w:t>R</w:t>
      </w:r>
      <w:r w:rsidR="00362BAC">
        <w:rPr>
          <w:rFonts w:ascii="Calibri" w:hAnsi="Calibri" w:cs="Tahoma"/>
          <w:i w:val="0"/>
          <w:color w:val="1F497D" w:themeColor="text2"/>
          <w:sz w:val="28"/>
          <w:szCs w:val="28"/>
          <w:u w:val="single"/>
        </w:rPr>
        <w:t>A APRES SECHEUR</w:t>
      </w:r>
    </w:p>
    <w:p w:rsidR="00462367" w:rsidRPr="00F80035" w:rsidRDefault="00462367" w:rsidP="00083A21">
      <w:pPr>
        <w:jc w:val="center"/>
        <w:rPr>
          <w:color w:val="1F497D" w:themeColor="text2"/>
        </w:rPr>
      </w:pPr>
    </w:p>
    <w:p w:rsidR="00F80035" w:rsidRDefault="001824DF" w:rsidP="00083A21">
      <w:pPr>
        <w:jc w:val="center"/>
        <w:rPr>
          <w:color w:val="1F497D" w:themeColor="text2"/>
        </w:rPr>
      </w:pPr>
      <w:r>
        <w:rPr>
          <w:noProof/>
          <w:color w:val="1F497D" w:themeColor="text2"/>
        </w:rPr>
        <w:drawing>
          <wp:anchor distT="0" distB="0" distL="114300" distR="114300" simplePos="0" relativeHeight="251681280" behindDoc="0" locked="0" layoutInCell="1" allowOverlap="1">
            <wp:simplePos x="0" y="0"/>
            <wp:positionH relativeFrom="column">
              <wp:posOffset>895350</wp:posOffset>
            </wp:positionH>
            <wp:positionV relativeFrom="paragraph">
              <wp:posOffset>104775</wp:posOffset>
            </wp:positionV>
            <wp:extent cx="381000" cy="1114425"/>
            <wp:effectExtent l="1905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F80035" w:rsidRDefault="00F80035" w:rsidP="00083A21">
      <w:pPr>
        <w:jc w:val="center"/>
        <w:rPr>
          <w:color w:val="1F497D" w:themeColor="text2"/>
        </w:rPr>
      </w:pPr>
    </w:p>
    <w:p w:rsidR="00362BAC" w:rsidRDefault="00362BAC" w:rsidP="00083A21">
      <w:pPr>
        <w:jc w:val="center"/>
        <w:rPr>
          <w:color w:val="1F497D" w:themeColor="text2"/>
        </w:rPr>
      </w:pPr>
      <w:r>
        <w:rPr>
          <w:color w:val="1F497D" w:themeColor="text2"/>
        </w:rPr>
        <w:t xml:space="preserve">    Filtration 1</w:t>
      </w:r>
      <w:r w:rsidR="005320C9">
        <w:rPr>
          <w:color w:val="1F497D" w:themeColor="text2"/>
        </w:rPr>
        <w:t>90</w:t>
      </w:r>
      <w:r>
        <w:rPr>
          <w:color w:val="1F497D" w:themeColor="text2"/>
        </w:rPr>
        <w:t xml:space="preserve"> m3/h –</w:t>
      </w:r>
    </w:p>
    <w:p w:rsidR="00F80035" w:rsidRDefault="00362BAC" w:rsidP="00083A21">
      <w:pPr>
        <w:jc w:val="center"/>
        <w:rPr>
          <w:color w:val="1F497D" w:themeColor="text2"/>
        </w:rPr>
      </w:pPr>
      <w:r>
        <w:rPr>
          <w:color w:val="1F497D" w:themeColor="text2"/>
        </w:rPr>
        <w:t xml:space="preserve"> Raccordement </w:t>
      </w:r>
      <w:r w:rsidR="005320C9">
        <w:rPr>
          <w:color w:val="1F497D" w:themeColor="text2"/>
        </w:rPr>
        <w:t>3/4</w:t>
      </w:r>
      <w:r>
        <w:rPr>
          <w:color w:val="1F497D" w:themeColor="text2"/>
        </w:rPr>
        <w:t> »</w:t>
      </w:r>
    </w:p>
    <w:p w:rsidR="00362BAC" w:rsidRDefault="00362BAC" w:rsidP="00083A21">
      <w:pPr>
        <w:jc w:val="center"/>
        <w:rPr>
          <w:color w:val="1F497D" w:themeColor="text2"/>
        </w:rPr>
      </w:pPr>
      <w:r>
        <w:rPr>
          <w:color w:val="1F497D" w:themeColor="text2"/>
        </w:rPr>
        <w:t>0.01µ</w:t>
      </w:r>
    </w:p>
    <w:p w:rsidR="00362BAC" w:rsidRDefault="00362BAC" w:rsidP="00083A21">
      <w:pPr>
        <w:jc w:val="center"/>
        <w:rPr>
          <w:color w:val="1F497D" w:themeColor="text2"/>
        </w:rPr>
      </w:pPr>
    </w:p>
    <w:p w:rsidR="00F80035" w:rsidRDefault="00F80035" w:rsidP="00083A21">
      <w:pPr>
        <w:jc w:val="center"/>
        <w:rPr>
          <w:color w:val="1F497D" w:themeColor="text2"/>
        </w:rPr>
      </w:pPr>
    </w:p>
    <w:p w:rsidR="00635628" w:rsidRDefault="00362BAC" w:rsidP="00635628">
      <w:pPr>
        <w:pStyle w:val="Default"/>
        <w:ind w:left="7080"/>
        <w:jc w:val="center"/>
        <w:rPr>
          <w:b/>
          <w:bCs/>
          <w:color w:val="1F497D" w:themeColor="text2"/>
        </w:rPr>
      </w:pPr>
      <w:r>
        <w:rPr>
          <w:b/>
          <w:bCs/>
          <w:color w:val="1F497D" w:themeColor="text2"/>
        </w:rPr>
        <w:t>Pri</w:t>
      </w:r>
      <w:r w:rsidR="00635628" w:rsidRPr="00F80035">
        <w:rPr>
          <w:b/>
          <w:bCs/>
          <w:color w:val="1F497D" w:themeColor="text2"/>
        </w:rPr>
        <w:t>x Unitaire </w:t>
      </w:r>
      <w:r w:rsidRPr="00F80035">
        <w:rPr>
          <w:b/>
          <w:bCs/>
          <w:color w:val="1F497D" w:themeColor="text2"/>
        </w:rPr>
        <w:t xml:space="preserve">: </w:t>
      </w:r>
      <w:r w:rsidR="005320C9">
        <w:rPr>
          <w:b/>
          <w:bCs/>
          <w:color w:val="1F497D" w:themeColor="text2"/>
        </w:rPr>
        <w:t>233</w:t>
      </w:r>
      <w:r w:rsidRPr="00F80035">
        <w:rPr>
          <w:b/>
          <w:bCs/>
          <w:color w:val="1F497D" w:themeColor="text2"/>
        </w:rPr>
        <w:t>.00</w:t>
      </w:r>
      <w:r w:rsidR="00635628" w:rsidRPr="00F80035">
        <w:rPr>
          <w:b/>
          <w:bCs/>
          <w:color w:val="1F497D" w:themeColor="text2"/>
        </w:rPr>
        <w:t xml:space="preserve"> </w:t>
      </w:r>
      <w:r w:rsidR="00042983" w:rsidRPr="00F80035">
        <w:rPr>
          <w:b/>
          <w:bCs/>
          <w:color w:val="1F497D" w:themeColor="text2"/>
        </w:rPr>
        <w:t xml:space="preserve">HT </w:t>
      </w:r>
      <w:r w:rsidR="00635628" w:rsidRPr="00F80035">
        <w:rPr>
          <w:b/>
          <w:bCs/>
          <w:color w:val="1F497D" w:themeColor="text2"/>
        </w:rPr>
        <w:t>€</w:t>
      </w:r>
    </w:p>
    <w:p w:rsidR="00362BAC" w:rsidRDefault="00362BAC" w:rsidP="00635628">
      <w:pPr>
        <w:pStyle w:val="Default"/>
        <w:ind w:left="7080"/>
        <w:jc w:val="center"/>
        <w:rPr>
          <w:b/>
          <w:bCs/>
          <w:color w:val="1F497D" w:themeColor="text2"/>
        </w:rPr>
      </w:pPr>
    </w:p>
    <w:p w:rsidR="00362BAC" w:rsidRDefault="00362BAC" w:rsidP="00635628">
      <w:pPr>
        <w:pStyle w:val="Default"/>
        <w:ind w:left="7080"/>
        <w:jc w:val="center"/>
        <w:rPr>
          <w:b/>
          <w:bCs/>
          <w:color w:val="1F497D" w:themeColor="text2"/>
        </w:rPr>
      </w:pPr>
    </w:p>
    <w:p w:rsidR="00362BAC" w:rsidRPr="00F80035" w:rsidRDefault="00362BAC" w:rsidP="00362BA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t>I</w:t>
      </w:r>
      <w:r>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I –</w:t>
      </w:r>
      <w:r w:rsidRPr="00F80035">
        <w:rPr>
          <w:rFonts w:ascii="Calibri" w:hAnsi="Calibri" w:cs="Tahoma"/>
          <w:i w:val="0"/>
          <w:color w:val="1F497D" w:themeColor="text2"/>
          <w:sz w:val="28"/>
          <w:szCs w:val="28"/>
          <w:u w:val="single"/>
        </w:rPr>
        <w:t xml:space="preserve">filtre réf. </w:t>
      </w:r>
      <w:r>
        <w:rPr>
          <w:rFonts w:ascii="Calibri" w:hAnsi="Calibri" w:cs="Tahoma"/>
          <w:i w:val="0"/>
          <w:color w:val="1F497D" w:themeColor="text2"/>
          <w:sz w:val="28"/>
          <w:szCs w:val="28"/>
          <w:u w:val="single"/>
        </w:rPr>
        <w:t>BEA 1</w:t>
      </w:r>
      <w:r w:rsidR="005320C9">
        <w:rPr>
          <w:rFonts w:ascii="Calibri" w:hAnsi="Calibri" w:cs="Tahoma"/>
          <w:i w:val="0"/>
          <w:color w:val="1F497D" w:themeColor="text2"/>
          <w:sz w:val="28"/>
          <w:szCs w:val="28"/>
          <w:u w:val="single"/>
        </w:rPr>
        <w:t>90</w:t>
      </w:r>
      <w:r>
        <w:rPr>
          <w:rFonts w:ascii="Calibri" w:hAnsi="Calibri" w:cs="Tahoma"/>
          <w:i w:val="0"/>
          <w:color w:val="1F497D" w:themeColor="text2"/>
          <w:sz w:val="28"/>
          <w:szCs w:val="28"/>
          <w:u w:val="single"/>
        </w:rPr>
        <w:t>RB AVANT SECHEUR</w:t>
      </w:r>
    </w:p>
    <w:p w:rsidR="00362BAC" w:rsidRPr="00F80035" w:rsidRDefault="00362BAC" w:rsidP="00362BAC">
      <w:pPr>
        <w:jc w:val="center"/>
        <w:rPr>
          <w:color w:val="1F497D" w:themeColor="text2"/>
        </w:rPr>
      </w:pPr>
      <w:r>
        <w:rPr>
          <w:noProof/>
          <w:color w:val="1F497D" w:themeColor="text2"/>
        </w:rPr>
        <w:drawing>
          <wp:anchor distT="0" distB="0" distL="114300" distR="114300" simplePos="0" relativeHeight="251687424" behindDoc="0" locked="0" layoutInCell="1" allowOverlap="1">
            <wp:simplePos x="0" y="0"/>
            <wp:positionH relativeFrom="column">
              <wp:posOffset>2266950</wp:posOffset>
            </wp:positionH>
            <wp:positionV relativeFrom="paragraph">
              <wp:posOffset>4915472</wp:posOffset>
            </wp:positionV>
            <wp:extent cx="1962150" cy="2711514"/>
            <wp:effectExtent l="19050" t="0" r="0" b="0"/>
            <wp:wrapNone/>
            <wp:docPr id="16" name="Image 6" descr="ED36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360-480"/>
                    <pic:cNvPicPr>
                      <a:picLocks noChangeAspect="1" noChangeArrowheads="1"/>
                    </pic:cNvPicPr>
                  </pic:nvPicPr>
                  <pic:blipFill>
                    <a:blip r:embed="rId12" cstate="print"/>
                    <a:srcRect/>
                    <a:stretch>
                      <a:fillRect/>
                    </a:stretch>
                  </pic:blipFill>
                  <pic:spPr bwMode="auto">
                    <a:xfrm>
                      <a:off x="0" y="0"/>
                      <a:ext cx="1962150" cy="2711514"/>
                    </a:xfrm>
                    <a:prstGeom prst="rect">
                      <a:avLst/>
                    </a:prstGeom>
                    <a:noFill/>
                    <a:ln w="9525">
                      <a:noFill/>
                      <a:miter lim="800000"/>
                      <a:headEnd/>
                      <a:tailEnd/>
                    </a:ln>
                  </pic:spPr>
                </pic:pic>
              </a:graphicData>
            </a:graphic>
          </wp:anchor>
        </w:drawing>
      </w:r>
    </w:p>
    <w:p w:rsidR="00362BAC" w:rsidRDefault="00362BAC" w:rsidP="00362BAC">
      <w:pPr>
        <w:jc w:val="center"/>
        <w:rPr>
          <w:color w:val="1F497D" w:themeColor="text2"/>
        </w:rPr>
      </w:pPr>
      <w:r>
        <w:rPr>
          <w:noProof/>
          <w:color w:val="1F497D" w:themeColor="text2"/>
        </w:rPr>
        <w:drawing>
          <wp:anchor distT="0" distB="0" distL="114300" distR="114300" simplePos="0" relativeHeight="251688448" behindDoc="0" locked="0" layoutInCell="1" allowOverlap="1">
            <wp:simplePos x="0" y="0"/>
            <wp:positionH relativeFrom="column">
              <wp:posOffset>895350</wp:posOffset>
            </wp:positionH>
            <wp:positionV relativeFrom="paragraph">
              <wp:posOffset>104775</wp:posOffset>
            </wp:positionV>
            <wp:extent cx="381000" cy="1114425"/>
            <wp:effectExtent l="19050" t="0" r="0" b="0"/>
            <wp:wrapNone/>
            <wp:docPr id="1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362BAC" w:rsidRDefault="00362BAC" w:rsidP="00362BAC">
      <w:pPr>
        <w:jc w:val="center"/>
        <w:rPr>
          <w:color w:val="1F497D" w:themeColor="text2"/>
        </w:rPr>
      </w:pPr>
    </w:p>
    <w:p w:rsidR="00362BAC" w:rsidRDefault="00362BAC" w:rsidP="00362BAC">
      <w:pPr>
        <w:jc w:val="center"/>
        <w:rPr>
          <w:color w:val="1F497D" w:themeColor="text2"/>
        </w:rPr>
      </w:pPr>
      <w:r>
        <w:rPr>
          <w:color w:val="1F497D" w:themeColor="text2"/>
        </w:rPr>
        <w:t xml:space="preserve">    Filtration 1</w:t>
      </w:r>
      <w:r w:rsidR="005320C9">
        <w:rPr>
          <w:color w:val="1F497D" w:themeColor="text2"/>
        </w:rPr>
        <w:t>90</w:t>
      </w:r>
      <w:r>
        <w:rPr>
          <w:color w:val="1F497D" w:themeColor="text2"/>
        </w:rPr>
        <w:t xml:space="preserve"> m3/h –</w:t>
      </w:r>
    </w:p>
    <w:p w:rsidR="00362BAC" w:rsidRDefault="00362BAC" w:rsidP="00362BAC">
      <w:pPr>
        <w:jc w:val="center"/>
        <w:rPr>
          <w:color w:val="1F497D" w:themeColor="text2"/>
        </w:rPr>
      </w:pPr>
      <w:r>
        <w:rPr>
          <w:color w:val="1F497D" w:themeColor="text2"/>
        </w:rPr>
        <w:t xml:space="preserve"> Raccordement </w:t>
      </w:r>
      <w:r w:rsidR="005320C9">
        <w:rPr>
          <w:color w:val="1F497D" w:themeColor="text2"/>
        </w:rPr>
        <w:t>3/4</w:t>
      </w:r>
      <w:r>
        <w:rPr>
          <w:color w:val="1F497D" w:themeColor="text2"/>
        </w:rPr>
        <w:t> »</w:t>
      </w:r>
    </w:p>
    <w:p w:rsidR="00362BAC" w:rsidRDefault="00362BAC" w:rsidP="00362BAC">
      <w:pPr>
        <w:jc w:val="center"/>
        <w:rPr>
          <w:color w:val="1F497D" w:themeColor="text2"/>
        </w:rPr>
      </w:pPr>
      <w:r>
        <w:rPr>
          <w:color w:val="1F497D" w:themeColor="text2"/>
        </w:rPr>
        <w:t>1µ</w:t>
      </w:r>
    </w:p>
    <w:p w:rsidR="00362BAC" w:rsidRDefault="00362BAC" w:rsidP="00362BAC">
      <w:pPr>
        <w:jc w:val="center"/>
        <w:rPr>
          <w:color w:val="1F497D" w:themeColor="text2"/>
        </w:rPr>
      </w:pPr>
    </w:p>
    <w:p w:rsidR="00362BAC" w:rsidRDefault="00362BAC" w:rsidP="00362BAC">
      <w:pPr>
        <w:jc w:val="center"/>
        <w:rPr>
          <w:color w:val="1F497D" w:themeColor="text2"/>
        </w:rPr>
      </w:pPr>
    </w:p>
    <w:p w:rsidR="00632C2C" w:rsidRPr="00F80035" w:rsidRDefault="00632C2C"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4A4671" w:rsidRPr="00F80035" w:rsidRDefault="00C76DD4" w:rsidP="00362BAC">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007773EB" w:rsidRPr="00F80035">
        <w:rPr>
          <w:rFonts w:ascii="Calibri" w:hAnsi="Calibri"/>
          <w:b/>
          <w:color w:val="1F497D" w:themeColor="text2"/>
        </w:rPr>
        <w:t xml:space="preserve">Prix Unitaire HT : </w:t>
      </w:r>
      <w:r w:rsidR="005320C9">
        <w:rPr>
          <w:rFonts w:ascii="Calibri" w:hAnsi="Calibri"/>
          <w:b/>
          <w:color w:val="1F497D" w:themeColor="text2"/>
        </w:rPr>
        <w:t>233</w:t>
      </w:r>
      <w:r w:rsidR="00362BAC">
        <w:rPr>
          <w:rFonts w:ascii="Calibri" w:hAnsi="Calibri"/>
          <w:b/>
          <w:color w:val="1F497D" w:themeColor="text2"/>
        </w:rPr>
        <w:t>.00</w:t>
      </w:r>
      <w:r w:rsidR="007773EB" w:rsidRPr="00F80035">
        <w:rPr>
          <w:rFonts w:ascii="Calibri" w:hAnsi="Calibri"/>
          <w:b/>
          <w:color w:val="1F497D" w:themeColor="text2"/>
        </w:rPr>
        <w:t xml:space="preserve"> €</w:t>
      </w:r>
      <w:r w:rsidR="00E15A2C">
        <w:rPr>
          <w:rFonts w:ascii="Calibri" w:hAnsi="Calibri"/>
          <w:b/>
          <w:color w:val="1F497D" w:themeColor="text2"/>
        </w:rPr>
        <w:t xml:space="preserve"> HT</w:t>
      </w:r>
    </w:p>
    <w:p w:rsidR="00D57260" w:rsidRDefault="00D57260" w:rsidP="00E01A83">
      <w:pPr>
        <w:pStyle w:val="Titre5"/>
        <w:rPr>
          <w:rFonts w:ascii="Calibri" w:hAnsi="Calibri" w:cs="Tahoma"/>
          <w:i w:val="0"/>
          <w:color w:val="1F497D" w:themeColor="text2"/>
          <w:sz w:val="28"/>
          <w:szCs w:val="28"/>
          <w:u w:val="single"/>
        </w:rPr>
      </w:pPr>
    </w:p>
    <w:p w:rsidR="00E01A83" w:rsidRPr="00F80035" w:rsidRDefault="00362BAC"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C82006">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5B2402"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 xml:space="preserve">AIP </w:t>
      </w:r>
      <w:r w:rsidR="00362BAC">
        <w:rPr>
          <w:rFonts w:ascii="Calibri" w:hAnsi="Calibri"/>
          <w:color w:val="1F497D" w:themeColor="text2"/>
          <w:sz w:val="22"/>
          <w:szCs w:val="22"/>
        </w:rPr>
        <w:t>KDD</w:t>
      </w:r>
      <w:r w:rsidR="00E668C4">
        <w:rPr>
          <w:rFonts w:ascii="Calibri" w:hAnsi="Calibri"/>
          <w:color w:val="1F497D" w:themeColor="text2"/>
          <w:sz w:val="22"/>
          <w:szCs w:val="22"/>
        </w:rPr>
        <w:t>120</w:t>
      </w:r>
      <w:r w:rsidR="001C373D" w:rsidRPr="00F80035">
        <w:rPr>
          <w:rFonts w:ascii="Calibri" w:hAnsi="Calibri"/>
          <w:color w:val="1F497D" w:themeColor="text2"/>
          <w:sz w:val="22"/>
          <w:szCs w:val="22"/>
        </w:rPr>
        <w:tab/>
        <w:t xml:space="preserve">sécheur </w:t>
      </w:r>
      <w:proofErr w:type="gramStart"/>
      <w:r w:rsidR="00362BAC">
        <w:rPr>
          <w:rFonts w:ascii="Calibri" w:hAnsi="Calibri"/>
          <w:color w:val="1F497D" w:themeColor="text2"/>
          <w:sz w:val="22"/>
          <w:szCs w:val="22"/>
        </w:rPr>
        <w:t>a</w:t>
      </w:r>
      <w:proofErr w:type="gramEnd"/>
      <w:r w:rsidR="00362BAC">
        <w:rPr>
          <w:rFonts w:ascii="Calibri" w:hAnsi="Calibri"/>
          <w:color w:val="1F497D" w:themeColor="text2"/>
          <w:sz w:val="22"/>
          <w:szCs w:val="22"/>
        </w:rPr>
        <w:t xml:space="preserve"> adsorption</w:t>
      </w:r>
      <w:r w:rsidR="001C373D" w:rsidRPr="00F80035">
        <w:rPr>
          <w:rFonts w:ascii="Calibri" w:hAnsi="Calibri"/>
          <w:color w:val="1F497D" w:themeColor="text2"/>
          <w:sz w:val="22"/>
          <w:szCs w:val="22"/>
        </w:rPr>
        <w:tab/>
      </w:r>
      <w:r w:rsidR="00E668C4">
        <w:rPr>
          <w:rFonts w:ascii="Calibri" w:hAnsi="Calibri"/>
          <w:color w:val="1F497D" w:themeColor="text2"/>
          <w:sz w:val="22"/>
          <w:szCs w:val="22"/>
        </w:rPr>
        <w:t>3 860</w:t>
      </w:r>
      <w:r w:rsidR="00362BAC">
        <w:rPr>
          <w:rFonts w:ascii="Calibri" w:hAnsi="Calibri"/>
          <w:color w:val="1F497D" w:themeColor="text2"/>
          <w:sz w:val="22"/>
          <w:szCs w:val="22"/>
        </w:rPr>
        <w:t>.00</w:t>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362BAC">
        <w:rPr>
          <w:rFonts w:ascii="Calibri" w:hAnsi="Calibri"/>
          <w:color w:val="1F497D" w:themeColor="text2"/>
          <w:sz w:val="22"/>
          <w:szCs w:val="22"/>
        </w:rPr>
        <w:t>3 </w:t>
      </w:r>
      <w:r w:rsidR="00E668C4">
        <w:rPr>
          <w:rFonts w:ascii="Calibri" w:hAnsi="Calibri"/>
          <w:color w:val="1F497D" w:themeColor="text2"/>
          <w:sz w:val="22"/>
          <w:szCs w:val="22"/>
        </w:rPr>
        <w:t>86</w:t>
      </w:r>
      <w:r w:rsidR="00362BAC">
        <w:rPr>
          <w:rFonts w:ascii="Calibri" w:hAnsi="Calibri"/>
          <w:color w:val="1F497D" w:themeColor="text2"/>
          <w:sz w:val="22"/>
          <w:szCs w:val="22"/>
        </w:rPr>
        <w:t>0.00</w:t>
      </w:r>
    </w:p>
    <w:p w:rsidR="00C82006" w:rsidRDefault="00C82006"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BEA105RB</w:t>
      </w:r>
      <w:r>
        <w:rPr>
          <w:rFonts w:ascii="Calibri" w:hAnsi="Calibri"/>
          <w:color w:val="1F497D" w:themeColor="text2"/>
          <w:sz w:val="22"/>
          <w:szCs w:val="22"/>
        </w:rPr>
        <w:tab/>
        <w:t>pré filtration sécheur</w:t>
      </w:r>
      <w:r>
        <w:rPr>
          <w:rFonts w:ascii="Calibri" w:hAnsi="Calibri"/>
          <w:color w:val="1F497D" w:themeColor="text2"/>
          <w:sz w:val="22"/>
          <w:szCs w:val="22"/>
        </w:rPr>
        <w:tab/>
      </w:r>
      <w:r w:rsidR="00E668C4">
        <w:rPr>
          <w:rFonts w:ascii="Calibri" w:hAnsi="Calibri"/>
          <w:color w:val="1F497D" w:themeColor="text2"/>
          <w:sz w:val="22"/>
          <w:szCs w:val="22"/>
        </w:rPr>
        <w:t>233</w:t>
      </w:r>
      <w:r>
        <w:rPr>
          <w:rFonts w:ascii="Calibri" w:hAnsi="Calibri"/>
          <w:color w:val="1F497D" w:themeColor="text2"/>
          <w:sz w:val="22"/>
          <w:szCs w:val="22"/>
        </w:rPr>
        <w:t>.00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E668C4">
        <w:rPr>
          <w:rFonts w:ascii="Calibri" w:hAnsi="Calibri"/>
          <w:color w:val="1F497D" w:themeColor="text2"/>
          <w:sz w:val="22"/>
          <w:szCs w:val="22"/>
        </w:rPr>
        <w:t>233</w:t>
      </w:r>
      <w:r>
        <w:rPr>
          <w:rFonts w:ascii="Calibri" w:hAnsi="Calibri"/>
          <w:color w:val="1F497D" w:themeColor="text2"/>
          <w:sz w:val="22"/>
          <w:szCs w:val="22"/>
        </w:rPr>
        <w:t>.00</w:t>
      </w:r>
    </w:p>
    <w:p w:rsidR="00362BAC" w:rsidRPr="00F80035" w:rsidRDefault="00362BAC"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AIP BEA105RA</w:t>
      </w:r>
      <w:r>
        <w:rPr>
          <w:rFonts w:ascii="Calibri" w:hAnsi="Calibri"/>
          <w:color w:val="1F497D" w:themeColor="text2"/>
          <w:sz w:val="22"/>
          <w:szCs w:val="22"/>
        </w:rPr>
        <w:tab/>
        <w:t>aval  filtration sécheur</w:t>
      </w:r>
      <w:r>
        <w:rPr>
          <w:rFonts w:ascii="Calibri" w:hAnsi="Calibri"/>
          <w:color w:val="1F497D" w:themeColor="text2"/>
          <w:sz w:val="22"/>
          <w:szCs w:val="22"/>
        </w:rPr>
        <w:tab/>
      </w:r>
      <w:r w:rsidR="00E668C4">
        <w:rPr>
          <w:rFonts w:ascii="Calibri" w:hAnsi="Calibri"/>
          <w:color w:val="1F497D" w:themeColor="text2"/>
          <w:sz w:val="22"/>
          <w:szCs w:val="22"/>
        </w:rPr>
        <w:t>233</w:t>
      </w:r>
      <w:r>
        <w:rPr>
          <w:rFonts w:ascii="Calibri" w:hAnsi="Calibri"/>
          <w:color w:val="1F497D" w:themeColor="text2"/>
          <w:sz w:val="22"/>
          <w:szCs w:val="22"/>
        </w:rPr>
        <w:t>.00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E668C4">
        <w:rPr>
          <w:rFonts w:ascii="Calibri" w:hAnsi="Calibri"/>
          <w:color w:val="1F497D" w:themeColor="text2"/>
          <w:sz w:val="22"/>
          <w:szCs w:val="22"/>
        </w:rPr>
        <w:t>233</w:t>
      </w:r>
      <w:r>
        <w:rPr>
          <w:rFonts w:ascii="Calibri" w:hAnsi="Calibri"/>
          <w:color w:val="1F497D" w:themeColor="text2"/>
          <w:sz w:val="22"/>
          <w:szCs w:val="22"/>
        </w:rPr>
        <w:t>.00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E668C4">
        <w:rPr>
          <w:rFonts w:ascii="Calibri" w:hAnsi="Calibri"/>
          <w:b/>
          <w:color w:val="1F497D" w:themeColor="text2"/>
          <w:sz w:val="28"/>
          <w:szCs w:val="28"/>
        </w:rPr>
        <w:t>4 326</w:t>
      </w:r>
      <w:r w:rsidR="00C82006">
        <w:rPr>
          <w:rFonts w:ascii="Calibri" w:hAnsi="Calibri"/>
          <w:b/>
          <w:color w:val="1F497D" w:themeColor="text2"/>
          <w:sz w:val="28"/>
          <w:szCs w:val="28"/>
        </w:rPr>
        <w:t>.00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E668C4">
        <w:rPr>
          <w:rFonts w:ascii="Calibri" w:hAnsi="Calibri"/>
          <w:color w:val="1F497D" w:themeColor="text2"/>
        </w:rPr>
        <w:t>865.20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E668C4">
        <w:rPr>
          <w:rFonts w:ascii="Calibri" w:hAnsi="Calibri"/>
          <w:color w:val="1F497D" w:themeColor="text2"/>
        </w:rPr>
        <w:t>5 191.20 EUR</w:t>
      </w:r>
    </w:p>
    <w:p w:rsidR="00514DEA" w:rsidRPr="00F80035" w:rsidRDefault="00362BAC"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AD64F7">
        <w:rPr>
          <w:rFonts w:ascii="Calibri" w:hAnsi="Calibri" w:cs="Tahoma"/>
          <w:b/>
          <w:color w:val="1F497D" w:themeColor="text2"/>
        </w:rPr>
        <w:t xml:space="preserve">10 à 15 jours </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D57260"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E668C4">
        <w:rPr>
          <w:rFonts w:ascii="Calibri" w:hAnsi="Calibri" w:cs="Tahoma"/>
          <w:b/>
          <w:color w:val="1F497D" w:themeColor="text2"/>
        </w:rPr>
        <w:t>4 326</w:t>
      </w:r>
      <w:r w:rsidR="00D57260">
        <w:rPr>
          <w:rFonts w:ascii="Calibri" w:hAnsi="Calibri" w:cs="Tahoma"/>
          <w:b/>
          <w:color w:val="1F497D" w:themeColor="text2"/>
        </w:rPr>
        <w:t>.00</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E668C4">
        <w:rPr>
          <w:rFonts w:ascii="Calibri" w:hAnsi="Calibri" w:cs="Tahoma"/>
          <w:color w:val="1F497D" w:themeColor="text2"/>
        </w:rPr>
        <w:t>207.30</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212512">
        <w:rPr>
          <w:rFonts w:ascii="Calibri" w:hAnsi="Calibri" w:cs="Tahoma"/>
          <w:color w:val="1F497D" w:themeColor="text2"/>
        </w:rPr>
        <w:t>149.37</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212512">
        <w:rPr>
          <w:rFonts w:ascii="Calibri" w:hAnsi="Calibri" w:cs="Tahoma"/>
          <w:color w:val="1F497D" w:themeColor="text2"/>
        </w:rPr>
        <w:t>119.65</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212512">
        <w:rPr>
          <w:rFonts w:cs="Tahoma"/>
          <w:color w:val="1F497D" w:themeColor="text2"/>
        </w:rPr>
        <w:t>97.29</w:t>
      </w:r>
      <w:r w:rsidRPr="00F80035">
        <w:rPr>
          <w:rFonts w:cs="Tahoma"/>
          <w:color w:val="1F497D" w:themeColor="text2"/>
        </w:rPr>
        <w:t>€ Mensualité EUROS</w:t>
      </w: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0F" w:rsidRDefault="00484B0F" w:rsidP="00601B77">
      <w:r>
        <w:separator/>
      </w:r>
    </w:p>
  </w:endnote>
  <w:endnote w:type="continuationSeparator" w:id="0">
    <w:p w:rsidR="00484B0F" w:rsidRDefault="00484B0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0F" w:rsidRDefault="00484B0F" w:rsidP="00601B77">
      <w:r>
        <w:separator/>
      </w:r>
    </w:p>
  </w:footnote>
  <w:footnote w:type="continuationSeparator" w:id="0">
    <w:p w:rsidR="00484B0F" w:rsidRDefault="00484B0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76DA"/>
      </v:shape>
    </w:pict>
  </w:numPicBullet>
  <w:numPicBullet w:numPicBulletId="1">
    <w:pict>
      <v:shape id="_x0000_i1093"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320C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60BE6"/>
    <w:rsid w:val="007627D2"/>
    <w:rsid w:val="0077372D"/>
    <w:rsid w:val="007773EB"/>
    <w:rsid w:val="007813A8"/>
    <w:rsid w:val="00784557"/>
    <w:rsid w:val="00786EA4"/>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D5CE2"/>
    <w:rsid w:val="009014F9"/>
    <w:rsid w:val="0090454B"/>
    <w:rsid w:val="009047AE"/>
    <w:rsid w:val="00907F8F"/>
    <w:rsid w:val="00924490"/>
    <w:rsid w:val="0093596F"/>
    <w:rsid w:val="0095602D"/>
    <w:rsid w:val="00956088"/>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54443"/>
    <w:rsid w:val="00D57260"/>
    <w:rsid w:val="00D7342A"/>
    <w:rsid w:val="00D91B54"/>
    <w:rsid w:val="00D96E4E"/>
    <w:rsid w:val="00DA0D2B"/>
    <w:rsid w:val="00DE700C"/>
    <w:rsid w:val="00DF33DA"/>
    <w:rsid w:val="00DF345E"/>
    <w:rsid w:val="00E01A83"/>
    <w:rsid w:val="00E15A2C"/>
    <w:rsid w:val="00E6046C"/>
    <w:rsid w:val="00E615FC"/>
    <w:rsid w:val="00E668C4"/>
    <w:rsid w:val="00E8079F"/>
    <w:rsid w:val="00ED44CE"/>
    <w:rsid w:val="00EF0688"/>
    <w:rsid w:val="00EF0D27"/>
    <w:rsid w:val="00F03F45"/>
    <w:rsid w:val="00F04DF6"/>
    <w:rsid w:val="00F06837"/>
    <w:rsid w:val="00F12D77"/>
    <w:rsid w:val="00F4346A"/>
    <w:rsid w:val="00F43BF3"/>
    <w:rsid w:val="00F51034"/>
    <w:rsid w:val="00F56CB6"/>
    <w:rsid w:val="00F80035"/>
    <w:rsid w:val="00F87852"/>
    <w:rsid w:val="00FA369D"/>
    <w:rsid w:val="00FA5AF4"/>
    <w:rsid w:val="00FC72BF"/>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5E3BE-F0D2-4D1B-AE67-5720087E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2015-10-27T10:28:00Z</cp:lastPrinted>
  <dcterms:created xsi:type="dcterms:W3CDTF">2015-10-27T10:37:00Z</dcterms:created>
  <dcterms:modified xsi:type="dcterms:W3CDTF">2015-10-27T10:41:00Z</dcterms:modified>
</cp:coreProperties>
</file>